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i w:val="1"/>
          <w:color w:val="c00000"/>
          <w:sz w:val="52"/>
          <w:szCs w:val="52"/>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i w:val="1"/>
          <w:color w:val="ff0000"/>
          <w:sz w:val="52"/>
          <w:szCs w:val="52"/>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ff0000"/>
          <w:sz w:val="52"/>
          <w:szCs w:val="52"/>
        </w:rPr>
      </w:pPr>
      <w:r w:rsidDel="00000000" w:rsidR="00000000" w:rsidRPr="00000000">
        <w:rPr>
          <w:rFonts w:ascii="Times New Roman" w:cs="Times New Roman" w:eastAsia="Times New Roman" w:hAnsi="Times New Roman"/>
          <w:b w:val="1"/>
          <w:color w:val="ff0000"/>
          <w:sz w:val="52"/>
          <w:szCs w:val="52"/>
          <w:rtl w:val="0"/>
        </w:rPr>
        <w:t xml:space="preserve">КОНСУЛЬТАЦИЯ</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ff0000"/>
          <w:sz w:val="52"/>
          <w:szCs w:val="52"/>
        </w:rPr>
      </w:pPr>
      <w:r w:rsidDel="00000000" w:rsidR="00000000" w:rsidRPr="00000000">
        <w:rPr>
          <w:rFonts w:ascii="Times New Roman" w:cs="Times New Roman" w:eastAsia="Times New Roman" w:hAnsi="Times New Roman"/>
          <w:b w:val="1"/>
          <w:color w:val="ff0000"/>
          <w:sz w:val="52"/>
          <w:szCs w:val="52"/>
          <w:rtl w:val="0"/>
        </w:rPr>
        <w:t xml:space="preserve">для родителей</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на тему</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ff0000"/>
          <w:sz w:val="52"/>
          <w:szCs w:val="52"/>
        </w:rPr>
      </w:pPr>
      <w:r w:rsidDel="00000000" w:rsidR="00000000" w:rsidRPr="00000000">
        <w:rPr>
          <w:rFonts w:ascii="Times New Roman" w:cs="Times New Roman" w:eastAsia="Times New Roman" w:hAnsi="Times New Roman"/>
          <w:b w:val="1"/>
          <w:color w:val="ff0000"/>
          <w:sz w:val="52"/>
          <w:szCs w:val="52"/>
          <w:rtl w:val="0"/>
        </w:rPr>
        <w:t xml:space="preserve">«Подготовка ребёнка к школе»</w:t>
      </w:r>
    </w:p>
    <w:p w:rsidR="00000000" w:rsidDel="00000000" w:rsidP="00000000" w:rsidRDefault="00000000" w:rsidRPr="00000000" w14:paraId="0000000F">
      <w:pPr>
        <w:spacing w:after="0" w:line="240" w:lineRule="auto"/>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right"/>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7">
      <w:pP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09"/>
        <w:jc w:val="right"/>
        <w:rPr>
          <w:rFonts w:ascii="Times New Roman" w:cs="Times New Roman" w:eastAsia="Times New Roman" w:hAnsi="Times New Roman"/>
          <w:color w:val="356929"/>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709"/>
        <w:jc w:val="right"/>
        <w:rPr>
          <w:rFonts w:ascii="Times New Roman" w:cs="Times New Roman" w:eastAsia="Times New Roman" w:hAnsi="Times New Roman"/>
          <w:color w:val="356929"/>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709"/>
        <w:jc w:val="right"/>
        <w:rPr>
          <w:rFonts w:ascii="Times New Roman" w:cs="Times New Roman" w:eastAsia="Times New Roman" w:hAnsi="Times New Roman"/>
          <w:color w:val="356929"/>
          <w:sz w:val="24"/>
          <w:szCs w:val="24"/>
        </w:rPr>
      </w:pPr>
      <w:r w:rsidDel="00000000" w:rsidR="00000000" w:rsidRPr="00000000">
        <w:rPr>
          <w:rtl w:val="0"/>
        </w:rPr>
      </w:r>
    </w:p>
    <w:p w:rsidR="00000000" w:rsidDel="00000000" w:rsidP="00000000" w:rsidRDefault="00000000" w:rsidRPr="00000000" w14:paraId="00000028">
      <w:pPr>
        <w:spacing w:after="0" w:line="240" w:lineRule="auto"/>
        <w:ind w:firstLine="709"/>
        <w:jc w:val="right"/>
        <w:rPr>
          <w:rFonts w:ascii="Times New Roman" w:cs="Times New Roman" w:eastAsia="Times New Roman" w:hAnsi="Times New Roman"/>
          <w:color w:val="356929"/>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709"/>
        <w:jc w:val="right"/>
        <w:rPr>
          <w:rFonts w:ascii="Times New Roman" w:cs="Times New Roman" w:eastAsia="Times New Roman" w:hAnsi="Times New Roman"/>
          <w:color w:val="356929"/>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709"/>
        <w:jc w:val="right"/>
        <w:rPr>
          <w:rFonts w:ascii="Times New Roman" w:cs="Times New Roman" w:eastAsia="Times New Roman" w:hAnsi="Times New Roman"/>
          <w:color w:val="356929"/>
          <w:sz w:val="28"/>
          <w:szCs w:val="28"/>
        </w:rPr>
      </w:pPr>
      <w:r w:rsidDel="00000000" w:rsidR="00000000" w:rsidRPr="00000000">
        <w:rPr>
          <w:rtl w:val="0"/>
        </w:rPr>
      </w:r>
    </w:p>
    <w:p w:rsidR="00000000" w:rsidDel="00000000" w:rsidP="00000000" w:rsidRDefault="00000000" w:rsidRPr="00000000" w14:paraId="0000002B">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«Семья для ребенка – это источник общественного опыта. </w:t>
      </w:r>
    </w:p>
    <w:p w:rsidR="00000000" w:rsidDel="00000000" w:rsidP="00000000" w:rsidRDefault="00000000" w:rsidRPr="00000000" w14:paraId="0000002C">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Здесь он находит примеры для подражания </w:t>
      </w:r>
    </w:p>
    <w:p w:rsidR="00000000" w:rsidDel="00000000" w:rsidP="00000000" w:rsidRDefault="00000000" w:rsidRPr="00000000" w14:paraId="0000002D">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здесь происходит его социальное рождение. </w:t>
      </w:r>
    </w:p>
    <w:p w:rsidR="00000000" w:rsidDel="00000000" w:rsidP="00000000" w:rsidRDefault="00000000" w:rsidRPr="00000000" w14:paraId="0000002E">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если мы хотим вырастить нравственно здоровое поколение, </w:t>
      </w:r>
    </w:p>
    <w:p w:rsidR="00000000" w:rsidDel="00000000" w:rsidP="00000000" w:rsidRDefault="00000000" w:rsidRPr="00000000" w14:paraId="0000002F">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то должны решать эту проблему «всем миром»: </w:t>
      </w:r>
    </w:p>
    <w:p w:rsidR="00000000" w:rsidDel="00000000" w:rsidP="00000000" w:rsidRDefault="00000000" w:rsidRPr="00000000" w14:paraId="00000030">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детский сад, семья, общественность»</w:t>
      </w:r>
    </w:p>
    <w:p w:rsidR="00000000" w:rsidDel="00000000" w:rsidP="00000000" w:rsidRDefault="00000000" w:rsidRPr="00000000" w14:paraId="00000031">
      <w:pPr>
        <w:spacing w:after="0" w:line="240" w:lineRule="auto"/>
        <w:ind w:firstLine="709"/>
        <w:jc w:val="right"/>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i w:val="1"/>
          <w:sz w:val="28"/>
          <w:szCs w:val="28"/>
          <w:rtl w:val="0"/>
        </w:rPr>
        <w:t xml:space="preserve"> В.А. Сухомлинский</w:t>
      </w:r>
      <w:r w:rsidDel="00000000" w:rsidR="00000000" w:rsidRPr="00000000">
        <w:rPr>
          <w:rtl w:val="0"/>
        </w:rPr>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color w:val="356929"/>
          <w:sz w:val="28"/>
          <w:szCs w:val="28"/>
        </w:rPr>
      </w:pPr>
      <w:r w:rsidDel="00000000" w:rsidR="00000000" w:rsidRPr="00000000">
        <w:rPr>
          <w:rtl w:val="0"/>
        </w:rPr>
      </w:r>
    </w:p>
    <w:p w:rsidR="00000000" w:rsidDel="00000000" w:rsidP="00000000" w:rsidRDefault="00000000" w:rsidRPr="00000000" w14:paraId="00000033">
      <w:pPr>
        <w:tabs>
          <w:tab w:val="left" w:pos="385"/>
          <w:tab w:val="center" w:pos="5102"/>
        </w:tabs>
        <w:spacing w:after="0" w:line="240" w:lineRule="auto"/>
        <w:ind w:firstLine="3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очень быстро растут. И вот ваш ребенок, вчерашний малыш, уже стал большим, скоро пойдет в школу. У многих родителей поступление в школу вызывает опасения, тревогу. И неслучайно, ведь это переломный момент в жизни ребенка: резко меняется весь его образ жизни, он приобретает новое положение в обществе.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труде, общении со взрослыми и сверстниками.</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Вся дошкольная жизнь готовит ребенка к школе, а не только последний год перед школой.</w:t>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Готовность ребенка определяется его</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физическим  развитием</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психическим развитием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состоянием здоровья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умственным  развитием</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личностным развитием. </w:t>
      </w:r>
    </w:p>
    <w:p w:rsidR="00000000" w:rsidDel="00000000" w:rsidP="00000000" w:rsidRDefault="00000000" w:rsidRPr="00000000" w14:paraId="0000003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Учёные выделяют разные виды готовности к школе.</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29" w:right="0" w:hanging="36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Психологическая готовность</w:t>
      </w:r>
    </w:p>
    <w:p w:rsidR="00000000" w:rsidDel="00000000" w:rsidP="00000000" w:rsidRDefault="00000000" w:rsidRPr="00000000" w14:paraId="000000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Прежде всего важна психологическая готовность. Она заключается в том, что у ребенка уже к моменту поступления в школу должны сформироваться психологические черты, присущие школьнику.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учебе. К таким предпосылкам относятся желание стать школьником, выполнять серьезную деятельность, учиться. Это желание появляется к концу дошкольного возраста у подавляющего большинства детей. Оно связано с очередным кризисом психического развития, с тем, что ребенок начинает осознавать свое положение дошкольника как не соответствующее его возросшим возможностям, перерастает удовлетворяться тем способом приобщения к жизни взрослых, который ему дает игра. Он психологически перерастает игру, и положение школьника выступает для него как ступенька к взрослости, а учеба – как ответственное дело, к которому все относятся с уважением.</w:t>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Важная сторона психологической готовности ребенка к школе – достаточный уровень его волевого развития. Ученику приходится включать произвольное внимание, произвольную память, поскольку в учении есть и обязательные, «скучные» моменты. Произвольность познавательной деятельности начинает формироваться в старшем дошкольном возрасте, к моменту поступления в школу она еще не достигает полного развития. Ребенку трудно длительное время сохранять устойчивое произвольное внимание, заучивать значительный по объему материал и т.д.</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 которого в дошкольном детстве развиты все психические процессы,  успешен в школе. </w:t>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color w:val="356929"/>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9" w:right="0" w:hanging="72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2.Физическая готовность</w:t>
      </w:r>
    </w:p>
    <w:p w:rsidR="00000000" w:rsidDel="00000000" w:rsidP="00000000" w:rsidRDefault="00000000" w:rsidRPr="00000000" w14:paraId="00000043">
      <w:pPr>
        <w:spacing w:after="0" w:line="240" w:lineRule="auto"/>
        <w:ind w:firstLine="709"/>
        <w:jc w:val="both"/>
        <w:rPr>
          <w:rFonts w:ascii="Times New Roman" w:cs="Times New Roman" w:eastAsia="Times New Roman" w:hAnsi="Times New Roman"/>
          <w:color w:val="356929"/>
          <w:sz w:val="28"/>
          <w:szCs w:val="28"/>
        </w:rPr>
      </w:pPr>
      <w:r w:rsidDel="00000000" w:rsidR="00000000" w:rsidRPr="00000000">
        <w:rPr>
          <w:rtl w:val="0"/>
        </w:rPr>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самом деле самая тяжелая нагрузка в школе – это необходимость сидеть 40 минут урока. Это требует значительных усилий и напряжения всего организма. Если ребенок здоров, хорошо развит физически, у него нет отклонений в развитии, тогда он выдержит любую программу. Ослабленный ребенок быстро устает, не выдерживает нагрузку, становится не работоспособным. Поэтому так важна физическая подготовленность.</w:t>
      </w:r>
    </w:p>
    <w:p w:rsidR="00000000" w:rsidDel="00000000" w:rsidP="00000000" w:rsidRDefault="00000000" w:rsidRPr="00000000" w14:paraId="00000045">
      <w:pPr>
        <w:spacing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Итак, в первую очередь надо позаботиться о здоровье ребёнка. Плавание, прогулки, велосипед - это занятия, способствующие будущему успешному вступлению в школьную жизнь.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69" w:right="0" w:hanging="72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3.Эмоционально-волевая    готовность</w:t>
      </w:r>
    </w:p>
    <w:p w:rsidR="00000000" w:rsidDel="00000000" w:rsidP="00000000" w:rsidRDefault="00000000" w:rsidRPr="00000000" w14:paraId="0000004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Нравственно-волевые качества будущего первоклассника: настойчивость, трудолюбие, прилежание, усидчивость, терпение, чувство ответственности, организованность, дисциплинированность. Именно от них зависит,  будет ли ребенок учиться с удовольствием или учеба превратится для него в тяжкое бремя. Дети, которые не обладают этими качествами, не собраны на занятиях, не стремятся добывать знания, схватывают лишь то, что дается им без особых усилий.</w:t>
      </w:r>
    </w:p>
    <w:p w:rsidR="00000000" w:rsidDel="00000000" w:rsidP="00000000" w:rsidRDefault="00000000" w:rsidRPr="00000000" w14:paraId="0000004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Когда ребенок не боится совершать ошибки, он учится их преодолевать. Когда он учится преодолевать трудности в учебе, в научении, у него повышается самооценка. Он приучается ограничивать свои желания, преодолевать трудности, его поведение уже не носит импульсивный характер.</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Важно, чтобы ребенок развивал в себе волевые качества. Для этого его нужно приучать любое начатое им дело доделывать до конца.</w:t>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Родителям нужно уметь поддержать, подсказать, а не выполнять задание за ребенка. Любое давление со стороны родителей может у него вызвать нежелание и страх. </w:t>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Поэтому так важны доверительные и позитивные отношения в семье. </w:t>
      </w:r>
    </w:p>
    <w:p w:rsidR="00000000" w:rsidDel="00000000" w:rsidP="00000000" w:rsidRDefault="00000000" w:rsidRPr="00000000" w14:paraId="0000004C">
      <w:pPr>
        <w:spacing w:line="240" w:lineRule="auto"/>
        <w:jc w:val="both"/>
        <w:rPr>
          <w:rFonts w:ascii="Times New Roman" w:cs="Times New Roman" w:eastAsia="Times New Roman" w:hAnsi="Times New Roman"/>
          <w:color w:val="356929"/>
          <w:sz w:val="28"/>
          <w:szCs w:val="28"/>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69"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4.Интеллектуальная  готовность</w:t>
      </w:r>
    </w:p>
    <w:p w:rsidR="00000000" w:rsidDel="00000000" w:rsidP="00000000" w:rsidRDefault="00000000" w:rsidRPr="00000000" w14:paraId="0000004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Это способность ребенка быть внимательным, быстро входить в рабочую зону, то есть с первой секунды включаться в рабочий процесс. Очень важно, чтобы ребенок умел удерживать в голове поставленную педагогом задачу, уметь анализировать и давать ответ (результат), и к тому же уметь самого себя проверить. Иметь хорошую развитую речь, уметь мыслить и рассуждать, и, конечно, иметь широкую познавательную базу. Самый важный способ развития (относящийся и к речи, и к вниманию, и к общению, и к памяти, и к воображению, и еще ко многому другому) - читать ребенку книги.</w:t>
      </w:r>
    </w:p>
    <w:p w:rsidR="00000000" w:rsidDel="00000000" w:rsidP="00000000" w:rsidRDefault="00000000" w:rsidRPr="00000000" w14:paraId="0000004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Готовность к школе предполагает и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подготовленного к учебному труду ребенка. Значительно существеннее не сами знания, а то, как дети умеют ими пользоваться, применять их при решении тех или иных задач. Родителей порой радует, что ребенок запомнил  стихотворение или сказку. Действительно, у детей очень хорошая память, но важнее для умственного развития понять текст, суметь пересказать его, не исказив смысла, когда ребенок считает до ста и даже более. Не нужно увлекаться счетом до бесконечности. Важно познакомить ребенка с понятием числа как выражения количественной стороны любых явлений, помочь в пределах пяти. Это относится к детям старшего дошкольного возраста. Бывают случаи, что ребенок решает сложные примеры и задачи, выходящие за пределы первого десятка, на элементарный вопрос педагога: «Что больше – один или два», не может ответить. Часто дома дети пользуются калькулятором или компьютером, они просто запоминают результаты, а счетная деятельность у них не развита.</w:t>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Проводите с детьми наблюдения, беседы, позвольте ему почувствовать себя первооткрывателем. Например, наблюдайте вместе  с ним за облаками, находите в них сходство с фигурками людей и животных; «измеряйте» глубину лужи, наблюдайте за явлением природы.</w:t>
      </w:r>
    </w:p>
    <w:p w:rsidR="00000000" w:rsidDel="00000000" w:rsidP="00000000" w:rsidRDefault="00000000" w:rsidRPr="00000000" w14:paraId="00000051">
      <w:pPr>
        <w:spacing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69" w:right="0" w:hanging="72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5. Социальная готовность</w:t>
      </w:r>
    </w:p>
    <w:p w:rsidR="00000000" w:rsidDel="00000000" w:rsidP="00000000" w:rsidRDefault="00000000" w:rsidRPr="00000000" w14:paraId="00000053">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Социальная зрелость – умение ребенка строить отношения со своими сверстниками и умение с ними общаться, а также он должен понимать и исполнять особую роль ученика. Эти умения должны быть уже сформированы. Когда ребенок социально не зрел, то у него и доска плохая, и Петя помешал, то есть, виноваты все, только не он. Он боится, что его будут ругать, оценивать в негативной форме. И ребенок вынужден защищаться. Уважение и доверие к ребенку должны определять позицию родителей. Это создаст ребенку ощущение психологического комфорта, защищенности, уверенности в своих силах, поможет пережить самый стрессовый класс. Ведь каждый день нужно быть готовым к урокам, внимательным, выдерживать нагрузку, смену деятельности.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Мотивационная готовность к школе</w:t>
      </w:r>
    </w:p>
    <w:p w:rsidR="00000000" w:rsidDel="00000000" w:rsidP="00000000" w:rsidRDefault="00000000" w:rsidRPr="00000000" w14:paraId="00000055">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ребенка должна быть сформирована «внутренняя позиция школьника». Именно подготовительная группа детского сада позволяет сменить игровую позицию на учебную.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 </w:t>
      </w:r>
    </w:p>
    <w:sectPr>
      <w:pgSz w:h="16838" w:w="11906"/>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